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151</w:t>
      </w:r>
    </w:p>
    <w:p>
      <w:r>
        <w:t>Bundesgericht (BGE), 1970-04-29, FR</w:t>
      </w:r>
    </w:p>
    <w:p>
      <w:r>
        <w:rPr>
          <w:b/>
        </w:rPr>
        <w:t xml:space="preserve">Quelle: </w:t>
      </w:r>
      <w:r>
        <w:t>https://mcp.opencaselaw.ch/entscheid/bge_96 I 151</w:t>
      </w:r>
    </w:p>
    <w:p>
      <w:r>
        <w:t>FR: ATF 96 I 151</w:t>
      </w:r>
    </w:p>
    <w:p>
      <w:r>
        <w:t>IT: DTF 96 I 151</w:t>
      </w:r>
    </w:p>
    <w:p>
      <w:pPr>
        <w:pStyle w:val="Heading2"/>
      </w:pPr>
      <w:r>
        <w:t>Regeste</w:t>
      </w:r>
    </w:p>
    <w:p>
      <w:r>
        <w:t>Regeste Gemeindeautonomie. Damit eine Gemeinde auf einem bestimmten Gebiet als autonom zu betrachten ist, genügt es, dass ihr bei der Erfüllung von im öffentlichen Interesse liegenden Aufgaben eine gewisse Selbständigkeit eingeräumt ist.</w:t>
      </w:r>
    </w:p>
    <w:p>
      <w:pPr>
        <w:pStyle w:val="Heading2"/>
      </w:pPr>
      <w:r>
        <w:t>Erwägungen</w:t>
      </w:r>
    </w:p>
    <w:p>
      <w:r>
        <w:rPr>
          <w:b/>
        </w:rPr>
        <w:t>E. 3</w:t>
      </w:r>
    </w:p>
    <w:p>
      <w:r>
        <w:t>La Commission dénie à la commune toute autonomie dans la matière en cause. Elle s'appuie pour le faire sur les arrêts Commune de Hundwil (RO 65 I 131) et Ville de Neuchâtel (RO 83 I 123). Cette ancienne jurisprudence considérait le problème de l'autonomie communale comme un problème de compétence et n'admettait une lésion de l'autonomie que si l'autorité cantonale, excédant ses pouvoirs et empiétant sur ceux de la commune, intervenait dans un domaine exclusivement réservé à celle-ci. Or cette jurisprudence a subi une profonde modification au cours de ces dernières années (cf. RO 93 I 432 consid. 3 c, 94 I 544 consid. 2 et 95 I 37). Désormais, BGE 96 I 151 S. 153 pour qu'une commune soit reconnue autonome dans un domaine donné, il suffit qu'une certaine indépendance lui soit laissée dans l'accomplissement de tâches d'intérêt public. L'autonomie est alors lésée non seulement lorsque l'autorité cantonale s'est arrogé une compétence exclusivement réservée à la commune, mais également lorsque cette autorité, tout en restant dans les limites de ses attributions, applique le droit de façon arbitraire ou abuse d'une manière insoutenable de son pouvoir d'appréciation. Le champ et la portée de l'autonomie communale sont déterminés par le droit cantonal, que le Tribunal fédéral examine en principe librement s'il s'agit de dispositions constitutionnelles, et sous l'angle restreint de l'arbitraire s'il s'agit de dispositions légales (RO 93 I 431 et 434 consid. 3 a et d ; 94 I 545 consid. 3).</w:t>
      </w:r>
    </w:p>
    <w:p>
      <w:r>
        <w:rPr>
          <w:b/>
        </w:rPr>
        <w:t>E. 4</w:t>
      </w:r>
    </w:p>
    <w:p>
      <w:r>
        <w:t>La constitution fribourgeoise, modifiée en 1894, ne règle pas elle-même l'organisation politique et administrative des communes, mais confie cette tâche au législateur; elle se contente de poser le principe que les communes sont sous la haute surveillance de l'Etat et qu'elles ont, sous ce contrôle, la libre administration de leurs biens. C'est donc dans la Iégislation qu'il faut rechercher si la commune recourante jouit de l'autonomie dans le domaine litigieux. Le droit pour les communes d'établir les canaux et égouts nécessaires, ainsi que la possibilité d'en faire supporter les frais aux propriétaires intéressés, sont prévus par l'art. 151 LCP. La décision attaquée reconnaît elle-même que cette disposition laisse à la commune un très large pouvoir d'appréciation. Si l'on considère les dispositions de la loi sur les impôts communaux de 1926, force est de constater que, en ce domaine aussi, les communes fribourgeoises jouissent d'une certaine liberté dans l'accomplissement de leur tâche. Ainsi, l'art. 12 leur reconnaît la faculté de lever des impôts sur les immeubles, à un taux proportionnel et sans défalcation de dettes, qui peuvent avoir le caractère d'impôts liés à une destination spéciale (impôts d'affectation - Zwecksteuern - art. 12 al. 2 a. LICP). D'autre part, l'art. 18 a. LICP les autorise à lever des contributions extraordinaires temporaires pour couvrir les frais d'exécution de certains travaux, contributions proportionnées aux avantages que les propriétaires en retirent. Que la décision d'une commune à cet égard soit soumise, ou non, à l'approbation du Conseil d'Etat, n'y change rien. Même si l'on admettait, BGE 96 I 151 S. 154 avec la Commission, que cette approbation était nécessaire et que l'autorité étatique n'était pas limitée au contrôle de la légalité, mais pouvait se prononcer aussi sur l'opportunité de la décision communale, il n'en resterait pas moins qu'une marge suffisamment importante d'appréciation serait laissée à la commune. Cela suffit pour admettre son autonomie selon la jurisprudence citée (RO 93 I 160 ; 94 I 546 consid. 3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